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24" w:line="320" w:lineRule="exact"/>
        <w:ind w:hanging="0" w:left="0" w:right="806"/>
        <w:jc w:val="center"/>
      </w:pPr>
      <w:r>
        <w:rPr>
          <w:rFonts w:ascii="Arial" w:cs="Arial" w:eastAsia="Arial" w:hAnsi="Arial"/>
          <w:b/>
          <w:spacing w:val="-1"/>
          <w:sz w:val="28"/>
          <w:szCs w:val="28"/>
        </w:rPr>
        <w:t>The study of gamma emission in the fission process</w:t>
      </w:r>
    </w:p>
    <w:p>
      <w:pPr>
        <w:pStyle w:val="style0"/>
        <w:spacing w:line="200" w:lineRule="exact"/>
      </w:pPr>
      <w:r>
        <w:rPr/>
      </w:r>
    </w:p>
    <w:p>
      <w:pPr>
        <w:pStyle w:val="style0"/>
      </w:pPr>
      <w:r>
        <w:rPr>
          <w:lang w:eastAsia="zh-CN"/>
        </w:rPr>
        <w:t>L. Qi</w:t>
      </w:r>
      <w:r>
        <w:rPr>
          <w:vertAlign w:val="superscript"/>
        </w:rPr>
        <w:t>1</w:t>
      </w:r>
      <w:r>
        <w:rPr>
          <w:lang w:eastAsia="zh-CN"/>
        </w:rPr>
        <w:t>, J.N. Wilson</w:t>
      </w:r>
      <w:r>
        <w:rPr>
          <w:vertAlign w:val="superscript"/>
        </w:rPr>
        <w:t>1</w:t>
      </w:r>
      <w:r>
        <w:rPr>
          <w:lang w:eastAsia="zh-CN"/>
        </w:rPr>
        <w:t>,</w:t>
      </w:r>
      <w:bookmarkStart w:id="0" w:name="_GoBack"/>
      <w:bookmarkEnd w:id="0"/>
      <w:r>
        <w:rPr>
          <w:lang w:eastAsia="zh-CN"/>
        </w:rPr>
        <w:t xml:space="preserve"> M. Lebois</w:t>
      </w:r>
      <w:r>
        <w:rPr>
          <w:vertAlign w:val="superscript"/>
        </w:rPr>
        <w:t>1</w:t>
      </w:r>
      <w:r>
        <w:rPr>
          <w:lang w:eastAsia="zh-CN"/>
        </w:rPr>
        <w:t>, I. Matea</w:t>
      </w:r>
      <w:r>
        <w:rPr>
          <w:vertAlign w:val="superscript"/>
        </w:rPr>
        <w:t>1</w:t>
      </w:r>
      <w:r>
        <w:rPr>
          <w:lang w:eastAsia="zh-CN"/>
        </w:rPr>
        <w:t>, S. Oberstedt</w:t>
      </w:r>
      <w:r>
        <w:rPr>
          <w:vertAlign w:val="superscript"/>
          <w:lang w:eastAsia="zh-CN"/>
        </w:rPr>
        <w:t>2</w:t>
      </w:r>
      <w:r>
        <w:rPr>
          <w:lang w:eastAsia="zh-CN"/>
        </w:rPr>
        <w:t>, A. Oberstedt</w:t>
      </w:r>
      <w:r>
        <w:rPr>
          <w:vertAlign w:val="superscript"/>
          <w:lang w:eastAsia="zh-CN"/>
        </w:rPr>
        <w:t>3</w:t>
      </w:r>
      <w:r>
        <w:rPr>
          <w:lang w:eastAsia="zh-CN"/>
        </w:rPr>
        <w:t>, B. Laurent</w:t>
      </w:r>
      <w:r>
        <w:rPr>
          <w:vertAlign w:val="superscript"/>
          <w:lang w:eastAsia="zh-CN"/>
        </w:rPr>
        <w:t>4</w:t>
      </w:r>
      <w:r>
        <w:rPr>
          <w:lang w:eastAsia="zh-CN"/>
        </w:rPr>
        <w:t>, A. Chatillon</w:t>
      </w:r>
      <w:r>
        <w:rPr>
          <w:vertAlign w:val="superscript"/>
          <w:lang w:eastAsia="zh-CN"/>
        </w:rPr>
        <w:t>4</w:t>
      </w:r>
      <w:r>
        <w:rPr>
          <w:lang w:eastAsia="zh-CN"/>
        </w:rPr>
        <w:t>, G. Georgiev</w:t>
      </w:r>
      <w:r>
        <w:rPr>
          <w:vertAlign w:val="superscript"/>
          <w:lang w:eastAsia="zh-CN"/>
        </w:rPr>
        <w:t>5</w:t>
      </w:r>
      <w:r>
        <w:rPr>
          <w:lang w:eastAsia="zh-CN"/>
        </w:rPr>
        <w:t>, A. Göök</w:t>
      </w:r>
      <w:r>
        <w:rPr>
          <w:vertAlign w:val="superscript"/>
          <w:lang w:eastAsia="zh-CN"/>
        </w:rPr>
        <w:t>2</w:t>
      </w:r>
      <w:r>
        <w:rPr>
          <w:lang w:eastAsia="zh-CN"/>
        </w:rPr>
        <w:t>, A. Gatera</w:t>
      </w:r>
      <w:r>
        <w:rPr>
          <w:vertAlign w:val="superscript"/>
          <w:lang w:eastAsia="zh-CN"/>
        </w:rPr>
        <w:t>2</w:t>
      </w:r>
      <w:r>
        <w:rPr>
          <w:lang w:eastAsia="zh-CN"/>
        </w:rPr>
        <w:t>, C. Schmitt</w:t>
      </w:r>
      <w:r>
        <w:rPr>
          <w:vertAlign w:val="superscript"/>
          <w:lang w:eastAsia="zh-CN"/>
        </w:rPr>
        <w:t>6</w:t>
      </w:r>
      <w:r>
        <w:rPr>
          <w:lang w:eastAsia="zh-CN"/>
        </w:rPr>
        <w:t>, O. Serot</w:t>
      </w:r>
      <w:r>
        <w:rPr>
          <w:vertAlign w:val="superscript"/>
          <w:lang w:eastAsia="zh-CN"/>
        </w:rPr>
        <w:t>7</w:t>
      </w:r>
      <w:r>
        <w:rPr>
          <w:lang w:eastAsia="zh-CN"/>
        </w:rPr>
        <w:t>, B. Wasilewska</w:t>
      </w:r>
      <w:r>
        <w:rPr>
          <w:vertAlign w:val="superscript"/>
          <w:lang w:eastAsia="zh-CN"/>
        </w:rPr>
        <w:t>8</w:t>
      </w:r>
      <w:r>
        <w:rPr>
          <w:lang w:eastAsia="zh-CN"/>
        </w:rPr>
        <w:t>, D. Choudray</w:t>
      </w:r>
      <w:r>
        <w:rPr>
          <w:vertAlign w:val="superscript"/>
          <w:lang w:eastAsia="zh-CN"/>
        </w:rPr>
        <w:t>3</w:t>
      </w:r>
      <w:r>
        <w:rPr>
          <w:lang w:eastAsia="zh-CN"/>
        </w:rPr>
        <w:t>, A. Aldili</w:t>
      </w:r>
      <w:r>
        <w:rPr>
          <w:vertAlign w:val="superscript"/>
          <w:lang w:eastAsia="zh-CN"/>
        </w:rPr>
        <w:t>9</w:t>
      </w:r>
      <w:r>
        <w:rPr>
          <w:lang w:eastAsia="zh-CN"/>
        </w:rPr>
        <w:t>, A. Maj</w:t>
      </w:r>
      <w:r>
        <w:rPr>
          <w:vertAlign w:val="superscript"/>
          <w:lang w:eastAsia="zh-CN"/>
        </w:rPr>
        <w:t>8</w:t>
      </w:r>
      <w:r>
        <w:rPr>
          <w:lang w:eastAsia="zh-CN"/>
        </w:rPr>
        <w:t>, L. LeMeur</w:t>
      </w:r>
      <w:r>
        <w:rPr>
          <w:vertAlign w:val="superscript"/>
          <w:lang w:eastAsia="zh-CN"/>
        </w:rPr>
        <w:t>10</w:t>
      </w:r>
      <w:r>
        <w:rPr>
          <w:lang w:eastAsia="zh-CN"/>
        </w:rPr>
        <w:t>, P. Marini</w:t>
      </w:r>
      <w:r>
        <w:rPr>
          <w:vertAlign w:val="superscript"/>
          <w:lang w:eastAsia="zh-CN"/>
        </w:rPr>
        <w:t>4</w:t>
      </w:r>
      <w:r>
        <w:rPr>
          <w:lang w:eastAsia="zh-CN"/>
        </w:rPr>
        <w:t>, L. Morris</w:t>
      </w:r>
      <w:r>
        <w:rPr>
          <w:vertAlign w:val="superscript"/>
        </w:rPr>
        <w:t>1</w:t>
      </w:r>
      <w:r>
        <w:rPr>
          <w:vertAlign w:val="superscript"/>
          <w:lang w:eastAsia="zh-CN"/>
        </w:rPr>
        <w:t>1</w:t>
      </w:r>
      <w:r>
        <w:rPr>
          <w:lang w:eastAsia="zh-CN"/>
        </w:rPr>
        <w:t>, D. Jenkins</w:t>
      </w:r>
      <w:r>
        <w:rPr>
          <w:vertAlign w:val="superscript"/>
        </w:rPr>
        <w:t>1</w:t>
      </w:r>
      <w:r>
        <w:rPr>
          <w:vertAlign w:val="superscript"/>
          <w:lang w:eastAsia="zh-CN"/>
        </w:rPr>
        <w:t>1</w:t>
      </w:r>
      <w:r>
        <w:rPr>
          <w:lang w:eastAsia="zh-CN"/>
        </w:rPr>
        <w:t>, S. Courtin</w:t>
      </w:r>
      <w:r>
        <w:rPr>
          <w:vertAlign w:val="superscript"/>
        </w:rPr>
        <w:t>1</w:t>
      </w:r>
      <w:r>
        <w:rPr>
          <w:vertAlign w:val="superscript"/>
          <w:lang w:eastAsia="zh-CN"/>
        </w:rPr>
        <w:t>2</w:t>
      </w:r>
      <w:r>
        <w:rPr>
          <w:lang w:eastAsia="zh-CN"/>
        </w:rPr>
        <w:t>, G. Fruet</w:t>
      </w:r>
      <w:r>
        <w:rPr>
          <w:vertAlign w:val="superscript"/>
        </w:rPr>
        <w:t>1</w:t>
      </w:r>
      <w:r>
        <w:rPr>
          <w:vertAlign w:val="superscript"/>
          <w:lang w:eastAsia="zh-CN"/>
        </w:rPr>
        <w:t>2</w:t>
      </w:r>
      <w:r>
        <w:rPr>
          <w:lang w:eastAsia="zh-CN"/>
        </w:rPr>
        <w:t>, V. Nanal</w:t>
      </w:r>
      <w:r>
        <w:rPr>
          <w:vertAlign w:val="superscript"/>
        </w:rPr>
        <w:t>1</w:t>
      </w:r>
      <w:r>
        <w:rPr>
          <w:vertAlign w:val="superscript"/>
          <w:lang w:eastAsia="zh-CN"/>
        </w:rPr>
        <w:t>3</w:t>
      </w:r>
      <w:r>
        <w:rPr>
          <w:lang w:eastAsia="zh-CN"/>
        </w:rPr>
        <w:t>, P. Napiorkowski</w:t>
      </w:r>
      <w:r>
        <w:rPr>
          <w:vertAlign w:val="superscript"/>
        </w:rPr>
        <w:t>1</w:t>
      </w:r>
      <w:r>
        <w:rPr>
          <w:vertAlign w:val="superscript"/>
          <w:lang w:eastAsia="zh-CN"/>
        </w:rPr>
        <w:t>4</w:t>
      </w:r>
      <w:r>
        <w:rPr>
          <w:lang w:eastAsia="zh-CN"/>
        </w:rPr>
        <w:t>, M. Stanoiu</w:t>
      </w:r>
      <w:r>
        <w:rPr>
          <w:vertAlign w:val="superscript"/>
        </w:rPr>
        <w:t>1</w:t>
      </w:r>
      <w:r>
        <w:rPr>
          <w:vertAlign w:val="superscript"/>
          <w:lang w:eastAsia="zh-CN"/>
        </w:rPr>
        <w:t>5</w:t>
      </w:r>
      <w:r>
        <w:rPr>
          <w:lang w:eastAsia="zh-CN"/>
        </w:rPr>
        <w:t>, F. Zeiser</w:t>
      </w:r>
      <w:r>
        <w:rPr>
          <w:vertAlign w:val="superscript"/>
          <w:lang w:eastAsia="zh-CN"/>
        </w:rPr>
        <w:t>16</w:t>
      </w:r>
      <w:r>
        <w:rPr>
          <w:lang w:eastAsia="zh-CN"/>
        </w:rPr>
        <w:t>, S.J. Rose</w:t>
      </w:r>
      <w:r>
        <w:rPr>
          <w:vertAlign w:val="superscript"/>
          <w:lang w:eastAsia="zh-CN"/>
        </w:rPr>
        <w:t>16</w:t>
      </w:r>
    </w:p>
    <w:p>
      <w:pPr>
        <w:pStyle w:val="style0"/>
      </w:pPr>
      <w:r>
        <w:rPr/>
      </w:r>
    </w:p>
    <w:p>
      <w:pPr>
        <w:pStyle w:val="style0"/>
      </w:pPr>
      <w:r>
        <w:rPr>
          <w:vertAlign w:val="superscript"/>
          <w:lang w:val="fr-FR"/>
        </w:rPr>
        <w:t>1</w:t>
      </w:r>
      <w:r>
        <w:rPr>
          <w:lang w:eastAsia="zh-CN" w:val="fr-FR"/>
        </w:rPr>
        <w:t>Institut de Physique Nucléaire, CNRS-IN2P3, Univ. Paris-Sud, Université Paris-Saclay, 91406 Orsay Cedex, France</w:t>
      </w:r>
    </w:p>
    <w:p>
      <w:pPr>
        <w:pStyle w:val="style0"/>
      </w:pPr>
      <w:r>
        <w:rPr>
          <w:vertAlign w:val="superscript"/>
          <w:lang w:eastAsia="zh-CN" w:val="en-US"/>
        </w:rPr>
        <w:t>2</w:t>
      </w:r>
      <w:r>
        <w:rPr>
          <w:lang w:eastAsia="zh-CN"/>
        </w:rPr>
        <w:t>European Commission, Joint Research Centre, Directorate G for Nuclear Safety and Security, Unit G.2, 2440 Geel, Belgium</w:t>
      </w:r>
    </w:p>
    <w:p>
      <w:pPr>
        <w:pStyle w:val="style0"/>
      </w:pPr>
      <w:r>
        <w:rPr>
          <w:vertAlign w:val="superscript"/>
          <w:lang w:eastAsia="zh-CN" w:val="en-US"/>
        </w:rPr>
        <w:t>3</w:t>
      </w:r>
      <w:r>
        <w:rPr>
          <w:lang w:eastAsia="zh-CN" w:val="en-US"/>
        </w:rPr>
        <w:t>Extreme Light Infrastructure-Nuclear Physics (ELI-NP)/Horia Hulubei National Institute for Physics and Nuclear Engineering (IFIN-HH), 077125 Bucharest-Magurele, Romania</w:t>
      </w:r>
    </w:p>
    <w:p>
      <w:pPr>
        <w:pStyle w:val="style0"/>
      </w:pPr>
      <w:r>
        <w:rPr>
          <w:vertAlign w:val="superscript"/>
          <w:lang w:eastAsia="zh-CN" w:val="fr-FR"/>
        </w:rPr>
        <w:t>4</w:t>
      </w:r>
      <w:r>
        <w:rPr>
          <w:lang w:eastAsia="zh-CN" w:val="fr-FR"/>
        </w:rPr>
        <w:t>CEA, DAM, DIF, F-91297 Arpajon, France</w:t>
      </w:r>
    </w:p>
    <w:p>
      <w:pPr>
        <w:pStyle w:val="style0"/>
      </w:pPr>
      <w:r>
        <w:rPr>
          <w:vertAlign w:val="superscript"/>
          <w:lang w:eastAsia="zh-CN" w:val="en-US"/>
        </w:rPr>
        <w:t>5</w:t>
      </w:r>
      <w:r>
        <w:rPr>
          <w:lang w:eastAsia="zh-CN" w:val="en-US"/>
        </w:rPr>
        <w:t>CSNSM Orsay, CNRS-IN2P3, Univ. Paris-Sud, Université Paris-Saclay, 91405 Orsay Cedex, France</w:t>
      </w:r>
    </w:p>
    <w:p>
      <w:pPr>
        <w:pStyle w:val="style0"/>
      </w:pPr>
      <w:r>
        <w:rPr>
          <w:vertAlign w:val="superscript"/>
          <w:lang w:eastAsia="zh-CN" w:val="en-US"/>
        </w:rPr>
        <w:t>6</w:t>
      </w:r>
      <w:r>
        <w:rPr>
          <w:lang w:eastAsia="zh-CN" w:val="en-US"/>
        </w:rPr>
        <w:t>Grand Accélérateur National d'Ions Lourd, Bd Henri Becquerel, BP 55027 - 14076 CAEN Cedex 05, France</w:t>
      </w:r>
    </w:p>
    <w:p>
      <w:pPr>
        <w:pStyle w:val="style0"/>
      </w:pPr>
      <w:r>
        <w:rPr>
          <w:vertAlign w:val="superscript"/>
          <w:lang w:eastAsia="zh-CN" w:val="fr-FR"/>
        </w:rPr>
        <w:t>7</w:t>
      </w:r>
      <w:r>
        <w:rPr>
          <w:lang w:eastAsia="zh-CN" w:val="fr-FR"/>
        </w:rPr>
        <w:t>CEA, DEN-Cadarache, F-13108 Saint-Paul-lez-Durance, France</w:t>
      </w:r>
    </w:p>
    <w:p>
      <w:pPr>
        <w:pStyle w:val="style0"/>
      </w:pPr>
      <w:r>
        <w:rPr>
          <w:vertAlign w:val="superscript"/>
          <w:lang w:eastAsia="zh-CN" w:val="en-US"/>
        </w:rPr>
        <w:t>8</w:t>
      </w:r>
      <w:r>
        <w:rPr>
          <w:lang w:eastAsia="zh-CN" w:val="en-US"/>
        </w:rPr>
        <w:t>The Henryk Niewodniczański Institute of Nuclear Physics, 31-342 Krakow, Poland</w:t>
      </w:r>
    </w:p>
    <w:p>
      <w:pPr>
        <w:pStyle w:val="style0"/>
      </w:pPr>
      <w:r>
        <w:rPr>
          <w:vertAlign w:val="superscript"/>
          <w:lang w:eastAsia="zh-CN" w:val="en-US"/>
        </w:rPr>
        <w:t>9</w:t>
      </w:r>
      <w:r>
        <w:rPr>
          <w:lang w:eastAsia="zh-CN" w:val="en-US"/>
        </w:rPr>
        <w:t>Department of Physics and Astronomy, Uppsala University, Box 516, 751 20 Uppsala, Sweden</w:t>
      </w:r>
    </w:p>
    <w:p>
      <w:pPr>
        <w:pStyle w:val="style0"/>
      </w:pPr>
      <w:r>
        <w:rPr>
          <w:vertAlign w:val="superscript"/>
          <w:lang w:eastAsia="zh-CN" w:val="en-US"/>
        </w:rPr>
        <w:t>10</w:t>
      </w:r>
      <w:r>
        <w:rPr>
          <w:lang w:eastAsia="zh-CN" w:val="en-US"/>
        </w:rPr>
        <w:t>Subatech, IMT-Atlantique, rue Alfred Kastler 4, 44307 Nantes, France</w:t>
      </w:r>
    </w:p>
    <w:p>
      <w:pPr>
        <w:pStyle w:val="style0"/>
      </w:pPr>
      <w:r>
        <w:rPr>
          <w:vertAlign w:val="superscript"/>
          <w:lang w:eastAsia="zh-CN" w:val="en-US"/>
        </w:rPr>
        <w:t>11</w:t>
      </w:r>
      <w:r>
        <w:rPr>
          <w:lang w:eastAsia="zh-CN" w:val="en-US"/>
        </w:rPr>
        <w:t>Department of Physics, University of York, Heslington, York YO10 5DD, United Kingdom</w:t>
      </w:r>
    </w:p>
    <w:p>
      <w:pPr>
        <w:pStyle w:val="style0"/>
      </w:pPr>
      <w:r>
        <w:rPr>
          <w:vertAlign w:val="superscript"/>
          <w:lang w:eastAsia="zh-CN" w:val="fr-FR"/>
        </w:rPr>
        <w:t>12</w:t>
      </w:r>
      <w:r>
        <w:rPr>
          <w:lang w:eastAsia="zh-CN" w:val="fr-FR"/>
        </w:rPr>
        <w:t>Université de Strasbourg, IPHC, 23 rue du Loess, 67037 Strasbourg, France, and CNRS, UMR7178, 67037 Strasbourg, France</w:t>
      </w:r>
    </w:p>
    <w:p>
      <w:pPr>
        <w:pStyle w:val="style0"/>
      </w:pPr>
      <w:r>
        <w:rPr>
          <w:vertAlign w:val="superscript"/>
          <w:lang w:eastAsia="zh-CN" w:val="en-US"/>
        </w:rPr>
        <w:t>13</w:t>
      </w:r>
      <w:r>
        <w:rPr>
          <w:lang w:eastAsia="zh-CN" w:val="en-US"/>
        </w:rPr>
        <w:t>Dept of Nuclear and Atomic Physics, Tata Institute of Fundamental Research, Mumbai -5, India</w:t>
      </w:r>
    </w:p>
    <w:p>
      <w:pPr>
        <w:pStyle w:val="style0"/>
      </w:pPr>
      <w:r>
        <w:rPr>
          <w:vertAlign w:val="superscript"/>
          <w:lang w:eastAsia="zh-CN" w:val="en-US"/>
        </w:rPr>
        <w:t>14</w:t>
      </w:r>
      <w:r>
        <w:rPr>
          <w:lang w:eastAsia="zh-CN" w:val="en-US"/>
        </w:rPr>
        <w:t>Heavy Ion Laboratory, University of Warsaw, Poland</w:t>
      </w:r>
    </w:p>
    <w:p>
      <w:pPr>
        <w:pStyle w:val="style0"/>
      </w:pPr>
      <w:r>
        <w:rPr>
          <w:vertAlign w:val="superscript"/>
          <w:lang w:eastAsia="zh-CN" w:val="en-US"/>
        </w:rPr>
        <w:t>15</w:t>
      </w:r>
      <w:r>
        <w:rPr>
          <w:lang w:eastAsia="zh-CN" w:val="en-US"/>
        </w:rPr>
        <w:t>Institute of Atomic Physics, IFIN-HH, Bucharest-Magurele, P.O. Box MG6, Romania</w:t>
      </w:r>
    </w:p>
    <w:p>
      <w:pPr>
        <w:pStyle w:val="style0"/>
      </w:pPr>
      <w:r>
        <w:rPr>
          <w:vertAlign w:val="superscript"/>
          <w:lang w:eastAsia="zh-CN" w:val="en-US"/>
        </w:rPr>
        <w:t>16</w:t>
      </w:r>
      <w:r>
        <w:rPr>
          <w:lang w:eastAsia="zh-CN" w:val="en-US"/>
        </w:rPr>
        <w:t>University of Oslo, Department of Physics, P.O. Box 1048, Blindern 0316 Oslo, Norway</w:t>
      </w:r>
    </w:p>
    <w:p>
      <w:pPr>
        <w:pStyle w:val="style0"/>
        <w:spacing w:line="200" w:lineRule="exact"/>
      </w:pPr>
      <w:r>
        <w:rPr/>
      </w:r>
    </w:p>
    <w:p>
      <w:pPr>
        <w:pStyle w:val="style0"/>
        <w:spacing w:line="200" w:lineRule="exact"/>
      </w:pPr>
      <w:r>
        <w:rPr/>
      </w:r>
    </w:p>
    <w:p>
      <w:pPr>
        <w:pStyle w:val="style0"/>
        <w:spacing w:line="200" w:lineRule="exact"/>
      </w:pPr>
      <w:r>
        <w:rPr/>
      </w:r>
    </w:p>
    <w:p>
      <w:pPr>
        <w:pStyle w:val="style0"/>
        <w:spacing w:line="200" w:lineRule="exact"/>
      </w:pPr>
      <w:r>
        <w:rPr/>
      </w:r>
    </w:p>
    <w:p>
      <w:pPr>
        <w:pStyle w:val="style0"/>
      </w:pPr>
      <w:r>
        <w:rPr>
          <w:lang w:eastAsia="zh-CN" w:val="en-US"/>
        </w:rPr>
        <w:t xml:space="preserve">Prompt fission gamma spectra (PFGS) have been recently measured for the </w:t>
      </w:r>
      <w:r>
        <w:rPr>
          <w:vertAlign w:val="superscript"/>
          <w:lang w:eastAsia="zh-CN" w:val="en-US"/>
        </w:rPr>
        <w:t>238</w:t>
      </w:r>
      <w:r>
        <w:rPr>
          <w:lang w:eastAsia="zh-CN" w:val="en-US"/>
        </w:rPr>
        <w:t xml:space="preserve">U(n,f) and </w:t>
      </w:r>
      <w:r>
        <w:rPr>
          <w:vertAlign w:val="superscript"/>
          <w:lang w:eastAsia="zh-CN" w:val="en-US"/>
        </w:rPr>
        <w:t>239</w:t>
      </w:r>
      <w:r>
        <w:rPr>
          <w:lang w:eastAsia="zh-CN" w:val="en-US"/>
        </w:rPr>
        <w:t>Pu (n,f) reactions using fast neutrons produced by the LICORNE directional neutron source. The setup consisted of ionization chambers containing the actinides samples and LaBr</w:t>
      </w:r>
      <w:r>
        <w:rPr>
          <w:vertAlign w:val="subscript"/>
          <w:lang w:eastAsia="zh-CN" w:val="en-US"/>
        </w:rPr>
        <w:t>3</w:t>
      </w:r>
      <w:r>
        <w:rPr>
          <w:lang w:eastAsia="zh-CN" w:val="en-US"/>
        </w:rPr>
        <w:t xml:space="preserve"> scintillation detectors, as well as a cluster of PARIS phoswich detector, to measure the coincident prompt fission gamma rays. Prompt fission gamma rays were discriminated from prompt fission neutrons using the time-of-flight (TOF) technique. The multiplicities, total energies per fission and average energies of photons were extracted from the PFGS. In addition, information on the dependence of PFGS characteristics as a function of excitation energy was obtained.</w:t>
      </w:r>
    </w:p>
    <w:p>
      <w:pPr>
        <w:pStyle w:val="style0"/>
      </w:pPr>
      <w:r>
        <w:rPr/>
      </w:r>
    </w:p>
    <w:p>
      <w:pPr>
        <w:pStyle w:val="style0"/>
      </w:pPr>
      <w:r>
        <w:rPr>
          <w:lang w:eastAsia="zh-CN" w:val="en-US"/>
        </w:rPr>
        <w:t>These experiments provide important nuclear data for reactor physics, as an input for gamma heating calculations, since the gamma heating effect can be under-estimated by up to 28% with present nuclear data. Furthermore the new PFGS information will be useful from a fundamental physics point of view, where results can be compared with many competing theoretical predictions to refine models of fission process. Observables like multiplicities, mean energies and total energy can shed light on the energy sharing between fragments and the angular momentum generation mechanism in fission process. It will also lead to a better understanding of the competition between neutron and gamma emission.</w:t>
      </w:r>
    </w:p>
    <w:p>
      <w:pPr>
        <w:pStyle w:val="style0"/>
      </w:pPr>
      <w:r>
        <w:rPr/>
      </w:r>
    </w:p>
    <w:sectPr>
      <w:footerReference r:id="rId2" w:type="default"/>
      <w:type w:val="nextPage"/>
      <w:pgSz w:h="16838" w:w="11906"/>
      <w:pgMar w:bottom="443" w:footer="386" w:gutter="0" w:header="0" w:left="1040" w:right="1140" w:top="1060"/>
      <w:pgNumType w:fmt="decimal"/>
      <w:formProt w:val="false"/>
      <w:textDirection w:val="lrTb"/>
      <w:docGrid w:charSpace="24576" w:linePitch="32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spacing w:line="200" w:lineRule="exact"/>
    </w:pPr>
    <w:r>
      <w:rPr/>
    </w:r>
  </w:p>
  <w:p>
    <w:pPr>
      <w:pStyle w:val="style31"/>
      <w:spacing w:after="120" w:before="0" w:line="200" w:lineRule="exact"/>
      <w:ind w:hanging="0" w:left="40" w:right="0"/>
    </w:pPr>
    <w:r>
      <w:rPr/>
      <w:fldChar w:fldCharType="begin"/>
    </w:r>
    <w:r>
      <w:instrText> PAGE </w:instrText>
    </w:r>
    <w:r>
      <w:fldChar w:fldCharType="separate"/>
    </w:r>
    <w:r>
      <w:t>1</w:t>
    </w:r>
    <w:r>
      <w:fldChar w:fldCharType="end"/>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tyles.xml><?xml version="1.0" encoding="utf-8"?>
<w:styles xmlns:w="http://schemas.openxmlformats.org/wordprocessingml/2006/main">
  <w:style w:styleId="style0" w:type="paragraph">
    <w:name w:val="Normal"/>
    <w:next w:val="style0"/>
    <w:pPr>
      <w:widowControl/>
      <w:tabs>
        <w:tab w:leader="none" w:pos="708" w:val="left"/>
      </w:tabs>
      <w:suppressAutoHyphens w:val="true"/>
    </w:pPr>
    <w:rPr>
      <w:rFonts w:ascii="Times New Roman" w:cs="Times New Roman" w:eastAsia="Times New Roman" w:hAnsi="Times New Roman"/>
      <w:color w:val="00000A"/>
      <w:sz w:val="20"/>
      <w:szCs w:val="20"/>
      <w:lang w:bidi="ar-SA" w:eastAsia="en-US" w:val="en-GB"/>
    </w:rPr>
  </w:style>
  <w:style w:styleId="style1" w:type="paragraph">
    <w:name w:val="Heading 1"/>
    <w:basedOn w:val="style0"/>
    <w:next w:val="style26"/>
    <w:pPr>
      <w:keepNext/>
      <w:numPr>
        <w:ilvl w:val="0"/>
        <w:numId w:val="1"/>
      </w:numPr>
      <w:spacing w:after="60" w:before="240"/>
      <w:outlineLvl w:val="0"/>
    </w:pPr>
    <w:rPr>
      <w:rFonts w:ascii="Cambria" w:cs="" w:hAnsi="Cambria"/>
      <w:b/>
      <w:bCs/>
      <w:sz w:val="32"/>
      <w:szCs w:val="32"/>
    </w:rPr>
  </w:style>
  <w:style w:styleId="style2" w:type="paragraph">
    <w:name w:val="Heading 2"/>
    <w:basedOn w:val="style0"/>
    <w:next w:val="style26"/>
    <w:pPr>
      <w:keepNext/>
      <w:numPr>
        <w:ilvl w:val="1"/>
        <w:numId w:val="1"/>
      </w:numPr>
      <w:spacing w:after="60" w:before="240"/>
      <w:outlineLvl w:val="1"/>
    </w:pPr>
    <w:rPr>
      <w:rFonts w:ascii="Cambria" w:cs="" w:hAnsi="Cambria"/>
      <w:b/>
      <w:bCs/>
      <w:i/>
      <w:iCs/>
      <w:sz w:val="28"/>
      <w:szCs w:val="28"/>
    </w:rPr>
  </w:style>
  <w:style w:styleId="style3" w:type="paragraph">
    <w:name w:val="Heading 3"/>
    <w:basedOn w:val="style0"/>
    <w:next w:val="style26"/>
    <w:pPr>
      <w:keepNext/>
      <w:numPr>
        <w:ilvl w:val="2"/>
        <w:numId w:val="1"/>
      </w:numPr>
      <w:spacing w:after="60" w:before="240"/>
      <w:outlineLvl w:val="2"/>
    </w:pPr>
    <w:rPr>
      <w:rFonts w:ascii="Cambria" w:cs="" w:hAnsi="Cambria"/>
      <w:b/>
      <w:bCs/>
      <w:sz w:val="26"/>
      <w:szCs w:val="26"/>
    </w:rPr>
  </w:style>
  <w:style w:styleId="style4" w:type="paragraph">
    <w:name w:val="Heading 4"/>
    <w:basedOn w:val="style0"/>
    <w:next w:val="style26"/>
    <w:pPr>
      <w:keepNext/>
      <w:numPr>
        <w:ilvl w:val="3"/>
        <w:numId w:val="1"/>
      </w:numPr>
      <w:spacing w:after="60" w:before="240"/>
      <w:outlineLvl w:val="3"/>
    </w:pPr>
    <w:rPr>
      <w:rFonts w:ascii="Calibri" w:cs="" w:hAnsi="Calibri"/>
      <w:b/>
      <w:bCs/>
      <w:sz w:val="28"/>
      <w:szCs w:val="28"/>
    </w:rPr>
  </w:style>
  <w:style w:styleId="style5" w:type="paragraph">
    <w:name w:val="Heading 5"/>
    <w:basedOn w:val="style0"/>
    <w:next w:val="style26"/>
    <w:pPr>
      <w:numPr>
        <w:ilvl w:val="4"/>
        <w:numId w:val="1"/>
      </w:numPr>
      <w:spacing w:after="60" w:before="240"/>
      <w:outlineLvl w:val="4"/>
    </w:pPr>
    <w:rPr>
      <w:rFonts w:ascii="Calibri" w:cs="" w:hAnsi="Calibri"/>
      <w:b/>
      <w:bCs/>
      <w:i/>
      <w:iCs/>
      <w:sz w:val="26"/>
      <w:szCs w:val="26"/>
    </w:rPr>
  </w:style>
  <w:style w:styleId="style6" w:type="paragraph">
    <w:name w:val="Heading 6"/>
    <w:basedOn w:val="style0"/>
    <w:next w:val="style26"/>
    <w:pPr>
      <w:numPr>
        <w:ilvl w:val="5"/>
        <w:numId w:val="1"/>
      </w:numPr>
      <w:spacing w:after="60" w:before="240"/>
      <w:outlineLvl w:val="5"/>
    </w:pPr>
    <w:rPr>
      <w:b/>
      <w:bCs/>
      <w:sz w:val="22"/>
      <w:szCs w:val="22"/>
    </w:rPr>
  </w:style>
  <w:style w:styleId="style7" w:type="paragraph">
    <w:name w:val="Heading 7"/>
    <w:basedOn w:val="style0"/>
    <w:next w:val="style26"/>
    <w:pPr>
      <w:numPr>
        <w:ilvl w:val="6"/>
        <w:numId w:val="1"/>
      </w:numPr>
      <w:spacing w:after="60" w:before="240"/>
      <w:outlineLvl w:val="6"/>
    </w:pPr>
    <w:rPr>
      <w:rFonts w:ascii="Calibri" w:cs="" w:hAnsi="Calibri"/>
      <w:sz w:val="24"/>
      <w:szCs w:val="24"/>
    </w:rPr>
  </w:style>
  <w:style w:styleId="style8" w:type="paragraph">
    <w:name w:val="Heading 8"/>
    <w:basedOn w:val="style0"/>
    <w:next w:val="style26"/>
    <w:pPr>
      <w:numPr>
        <w:ilvl w:val="7"/>
        <w:numId w:val="1"/>
      </w:numPr>
      <w:spacing w:after="60" w:before="240"/>
      <w:outlineLvl w:val="7"/>
    </w:pPr>
    <w:rPr>
      <w:rFonts w:ascii="Calibri" w:cs="" w:hAnsi="Calibri"/>
      <w:i/>
      <w:iCs/>
      <w:sz w:val="24"/>
      <w:szCs w:val="24"/>
    </w:rPr>
  </w:style>
  <w:style w:styleId="style9" w:type="paragraph">
    <w:name w:val="Heading 9"/>
    <w:basedOn w:val="style0"/>
    <w:next w:val="style26"/>
    <w:pPr>
      <w:numPr>
        <w:ilvl w:val="8"/>
        <w:numId w:val="1"/>
      </w:numPr>
      <w:spacing w:after="60" w:before="240"/>
      <w:outlineLvl w:val="8"/>
    </w:pPr>
    <w:rPr>
      <w:rFonts w:ascii="Cambria" w:cs="" w:hAnsi="Cambria"/>
      <w:sz w:val="22"/>
      <w:szCs w:val="22"/>
    </w:rPr>
  </w:style>
  <w:style w:styleId="style15" w:type="character">
    <w:name w:val="Default Paragraph Font"/>
    <w:next w:val="style15"/>
    <w:rPr/>
  </w:style>
  <w:style w:styleId="style16" w:type="character">
    <w:name w:val="Heading 1 Char"/>
    <w:basedOn w:val="style15"/>
    <w:next w:val="style16"/>
    <w:rPr>
      <w:rFonts w:ascii="Cambria" w:cs="" w:hAnsi="Cambria"/>
      <w:b/>
      <w:bCs/>
      <w:sz w:val="32"/>
      <w:szCs w:val="32"/>
    </w:rPr>
  </w:style>
  <w:style w:styleId="style17" w:type="character">
    <w:name w:val="Heading 2 Char"/>
    <w:basedOn w:val="style15"/>
    <w:next w:val="style17"/>
    <w:rPr>
      <w:rFonts w:ascii="Cambria" w:cs="" w:hAnsi="Cambria"/>
      <w:b/>
      <w:bCs/>
      <w:i/>
      <w:iCs/>
      <w:sz w:val="28"/>
      <w:szCs w:val="28"/>
    </w:rPr>
  </w:style>
  <w:style w:styleId="style18" w:type="character">
    <w:name w:val="Heading 3 Char"/>
    <w:basedOn w:val="style15"/>
    <w:next w:val="style18"/>
    <w:rPr>
      <w:rFonts w:ascii="Cambria" w:cs="" w:hAnsi="Cambria"/>
      <w:b/>
      <w:bCs/>
      <w:sz w:val="26"/>
      <w:szCs w:val="26"/>
    </w:rPr>
  </w:style>
  <w:style w:styleId="style19" w:type="character">
    <w:name w:val="Heading 4 Char"/>
    <w:basedOn w:val="style15"/>
    <w:next w:val="style19"/>
    <w:rPr>
      <w:rFonts w:ascii="Calibri" w:cs="" w:hAnsi="Calibri"/>
      <w:b/>
      <w:bCs/>
      <w:sz w:val="28"/>
      <w:szCs w:val="28"/>
    </w:rPr>
  </w:style>
  <w:style w:styleId="style20" w:type="character">
    <w:name w:val="Heading 5 Char"/>
    <w:basedOn w:val="style15"/>
    <w:next w:val="style20"/>
    <w:rPr>
      <w:rFonts w:ascii="Calibri" w:cs="" w:hAnsi="Calibri"/>
      <w:b/>
      <w:bCs/>
      <w:i/>
      <w:iCs/>
      <w:sz w:val="26"/>
      <w:szCs w:val="26"/>
    </w:rPr>
  </w:style>
  <w:style w:styleId="style21" w:type="character">
    <w:name w:val="Heading 6 Char"/>
    <w:basedOn w:val="style15"/>
    <w:next w:val="style21"/>
    <w:rPr>
      <w:b/>
      <w:bCs/>
      <w:sz w:val="22"/>
      <w:szCs w:val="22"/>
    </w:rPr>
  </w:style>
  <w:style w:styleId="style22" w:type="character">
    <w:name w:val="Heading 7 Char"/>
    <w:basedOn w:val="style15"/>
    <w:next w:val="style22"/>
    <w:rPr>
      <w:rFonts w:ascii="Calibri" w:cs="" w:hAnsi="Calibri"/>
      <w:sz w:val="24"/>
      <w:szCs w:val="24"/>
    </w:rPr>
  </w:style>
  <w:style w:styleId="style23" w:type="character">
    <w:name w:val="Heading 8 Char"/>
    <w:basedOn w:val="style15"/>
    <w:next w:val="style23"/>
    <w:rPr>
      <w:rFonts w:ascii="Calibri" w:cs="" w:hAnsi="Calibri"/>
      <w:i/>
      <w:iCs/>
      <w:sz w:val="24"/>
      <w:szCs w:val="24"/>
    </w:rPr>
  </w:style>
  <w:style w:styleId="style24" w:type="character">
    <w:name w:val="Heading 9 Char"/>
    <w:basedOn w:val="style15"/>
    <w:next w:val="style24"/>
    <w:rPr>
      <w:rFonts w:ascii="Cambria" w:cs="" w:hAnsi="Cambria"/>
      <w:sz w:val="22"/>
      <w:szCs w:val="22"/>
    </w:rPr>
  </w:style>
  <w:style w:styleId="style25" w:type="paragraph">
    <w:name w:val="Heading"/>
    <w:basedOn w:val="style0"/>
    <w:next w:val="style26"/>
    <w:pPr>
      <w:keepNext/>
      <w:spacing w:after="120" w:before="240"/>
    </w:pPr>
    <w:rPr>
      <w:rFonts w:ascii="Arial" w:cs="Lohit Hindi" w:eastAsia="WenQuanYi Micro Hei" w:hAnsi="Arial"/>
      <w:sz w:val="28"/>
      <w:szCs w:val="28"/>
    </w:rPr>
  </w:style>
  <w:style w:styleId="style26" w:type="paragraph">
    <w:name w:val="Text body"/>
    <w:basedOn w:val="style0"/>
    <w:next w:val="style26"/>
    <w:pPr>
      <w:spacing w:after="120" w:before="0"/>
    </w:pPr>
    <w:rPr/>
  </w:style>
  <w:style w:styleId="style27" w:type="paragraph">
    <w:name w:val="List"/>
    <w:basedOn w:val="style26"/>
    <w:next w:val="style27"/>
    <w:pPr/>
    <w:rPr>
      <w:rFonts w:cs="Lohit Hindi"/>
    </w:rPr>
  </w:style>
  <w:style w:styleId="style28" w:type="paragraph">
    <w:name w:val="Caption"/>
    <w:basedOn w:val="style0"/>
    <w:next w:val="style28"/>
    <w:pPr>
      <w:suppressLineNumbers/>
      <w:spacing w:after="120" w:before="120"/>
    </w:pPr>
    <w:rPr>
      <w:rFonts w:cs="Lohit Hindi"/>
      <w:i/>
      <w:iCs/>
      <w:sz w:val="24"/>
      <w:szCs w:val="24"/>
    </w:rPr>
  </w:style>
  <w:style w:styleId="style29" w:type="paragraph">
    <w:name w:val="Index"/>
    <w:basedOn w:val="style0"/>
    <w:next w:val="style29"/>
    <w:pPr>
      <w:suppressLineNumbers/>
    </w:pPr>
    <w:rPr>
      <w:rFonts w:cs="Lohit Hindi"/>
    </w:rPr>
  </w:style>
  <w:style w:styleId="style30" w:type="paragraph">
    <w:name w:val="Footer"/>
    <w:basedOn w:val="style0"/>
    <w:next w:val="style30"/>
    <w:pPr>
      <w:suppressLineNumbers/>
      <w:tabs>
        <w:tab w:leader="none" w:pos="4819" w:val="center"/>
        <w:tab w:leader="none" w:pos="9638" w:val="right"/>
      </w:tabs>
    </w:pPr>
    <w:rPr/>
  </w:style>
  <w:style w:styleId="style31" w:type="paragraph">
    <w:name w:val="Frame contents"/>
    <w:basedOn w:val="style26"/>
    <w:next w:val="style31"/>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instruction_for_the_authors_theory-4_epjconf_cnr2016_01005-template.dotx</Template>
  <TotalTime>112</TotalTime>
  <Application>LibreOffice/3.5$Linux_X86_64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2017-02-14T08:39:00.00Z</dcterms:created>
  <dc:creator>EDMUNDS William (JRC-KARLSRUHE)</dc:creator>
  <cp:lastModifiedBy>Microsoft</cp:lastModifiedBy>
  <dcterms:modified xsi:type="dcterms:W3CDTF">2017-04-10T12:10:00.00Z</dcterms:modified>
  <cp:revision>316</cp:revision>
</cp:coreProperties>
</file>